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numPr>
          <w:ilvl w:val="0"/>
          <w:numId w:val="0"/>
        </w:numPr>
        <w:bidi w:val="0"/>
        <w:spacing w:before="260" w:beforeLines="0" w:beforeAutospacing="0" w:after="260" w:afterLines="0" w:afterAutospacing="0" w:line="413" w:lineRule="auto"/>
        <w:jc w:val="center"/>
        <w:outlineLvl w:val="1"/>
        <w:rPr>
          <w:rFonts w:hint="eastAsia" w:ascii="Arial" w:hAnsi="Arial" w:eastAsia="黑体" w:cstheme="minorBidi"/>
          <w:bCs w:val="0"/>
          <w:kern w:val="2"/>
          <w:sz w:val="48"/>
          <w:szCs w:val="40"/>
          <w:lang w:val="en-US" w:eastAsia="zh-CN" w:bidi="ar-SA"/>
        </w:rPr>
      </w:pPr>
      <w:r>
        <w:rPr>
          <w:rFonts w:hint="default" w:ascii="Arial" w:hAnsi="Arial" w:eastAsia="黑体" w:cstheme="minorBidi"/>
          <w:bCs w:val="0"/>
          <w:kern w:val="2"/>
          <w:sz w:val="48"/>
          <w:szCs w:val="40"/>
          <w:lang w:val="en-US" w:eastAsia="zh-CN" w:bidi="ar-SA"/>
        </w:rPr>
        <w:t>巢湖市槐林渔网商会2025年工作计划</w:t>
      </w:r>
    </w:p>
    <w:p>
      <w:pPr>
        <w:pStyle w:val="3"/>
        <w:bidi w:val="0"/>
        <w:rPr>
          <w:sz w:val="40"/>
          <w:szCs w:val="40"/>
        </w:rPr>
      </w:pPr>
    </w:p>
    <w:p>
      <w:pPr>
        <w:rPr>
          <w:sz w:val="32"/>
          <w:szCs w:val="28"/>
        </w:rPr>
      </w:pPr>
    </w:p>
    <w:p>
      <w:pPr>
        <w:pStyle w:val="3"/>
        <w:bidi w:val="0"/>
        <w:rPr>
          <w:rFonts w:ascii="Segoe UI" w:hAnsi="Segoe UI" w:eastAsia="Segoe UI" w:cs="Segoe UI"/>
          <w:i w:val="0"/>
          <w:iCs w:val="0"/>
          <w:caps w:val="0"/>
          <w:color w:val="1C1F23"/>
          <w:spacing w:val="0"/>
          <w:sz w:val="28"/>
          <w:szCs w:val="28"/>
        </w:rPr>
      </w:pPr>
      <w:r>
        <w:rPr>
          <w:sz w:val="40"/>
          <w:szCs w:val="40"/>
        </w:rPr>
        <w:t>一、工作背景与总体目标</w:t>
      </w:r>
    </w:p>
    <w:p>
      <w:pPr>
        <w:keepNext w:val="0"/>
        <w:keepLines w:val="0"/>
        <w:widowControl/>
        <w:suppressLineNumbers w:val="0"/>
        <w:pBdr>
          <w:top w:val="none" w:color="auto" w:sz="0" w:space="0"/>
          <w:bottom w:val="none" w:color="auto" w:sz="0" w:space="0"/>
        </w:pBdr>
        <w:shd w:val="clear" w:fill="FFFFFF"/>
        <w:bidi w:val="0"/>
        <w:spacing w:before="180" w:beforeAutospacing="0" w:after="0" w:afterAutospacing="0"/>
        <w:ind w:left="0" w:right="0" w:firstLine="640" w:firstLineChars="200"/>
        <w:jc w:val="left"/>
        <w:rPr>
          <w:rFonts w:hint="eastAsia" w:ascii="仿宋" w:hAnsi="仿宋" w:eastAsia="仿宋" w:cs="仿宋"/>
          <w:i w:val="0"/>
          <w:iCs w:val="0"/>
          <w:caps w:val="0"/>
          <w:color w:val="1C1F23"/>
          <w:spacing w:val="0"/>
          <w:sz w:val="32"/>
          <w:szCs w:val="32"/>
        </w:rPr>
      </w:pPr>
      <w:r>
        <w:rPr>
          <w:rFonts w:hint="eastAsia" w:ascii="仿宋" w:hAnsi="仿宋" w:eastAsia="仿宋" w:cs="仿宋"/>
          <w:i w:val="0"/>
          <w:iCs w:val="0"/>
          <w:caps w:val="0"/>
          <w:color w:val="1C1F23"/>
          <w:spacing w:val="0"/>
          <w:kern w:val="0"/>
          <w:sz w:val="32"/>
          <w:szCs w:val="32"/>
          <w:shd w:val="clear" w:fill="FFFFFF"/>
          <w:lang w:val="en-US" w:eastAsia="zh-CN" w:bidi="ar"/>
        </w:rPr>
        <w:t>在深入学习宣传贯彻党的二十大精神以及习近平新时代中国特色社会主义思想的指引下，本商会以促进 “两个健康”（非公有制经济健康发展和非公有制经济人士健康成长）为核心任务，围绕槐林渔网产业，充分发挥桥梁纽带作用，协助镇党委政府管理非公有制经济事务，并通过多维度服务提升商会自身影响力与会员企业竞争力，推动产业高质量可持续发展。</w:t>
      </w:r>
    </w:p>
    <w:p>
      <w:pPr>
        <w:pStyle w:val="3"/>
        <w:bidi w:val="0"/>
        <w:rPr>
          <w:sz w:val="40"/>
          <w:szCs w:val="40"/>
        </w:rPr>
      </w:pPr>
      <w:r>
        <w:rPr>
          <w:sz w:val="40"/>
          <w:szCs w:val="40"/>
        </w:rPr>
        <w:t>二、具体工作计划</w:t>
      </w:r>
    </w:p>
    <w:p>
      <w:pPr>
        <w:pStyle w:val="4"/>
        <w:bidi w:val="0"/>
        <w:rPr>
          <w:sz w:val="36"/>
          <w:szCs w:val="36"/>
        </w:rPr>
      </w:pPr>
      <w:r>
        <w:rPr>
          <w:sz w:val="36"/>
          <w:szCs w:val="36"/>
        </w:rPr>
        <w:t>（一）完善商会创新服务模式</w:t>
      </w:r>
    </w:p>
    <w:p>
      <w:pPr>
        <w:pStyle w:val="5"/>
        <w:numPr>
          <w:ilvl w:val="0"/>
          <w:numId w:val="1"/>
        </w:numPr>
        <w:bidi w:val="0"/>
        <w:ind w:left="570" w:leftChars="0" w:firstLineChars="0"/>
        <w:rPr>
          <w:sz w:val="32"/>
          <w:szCs w:val="28"/>
        </w:rPr>
      </w:pPr>
      <w:r>
        <w:rPr>
          <w:rFonts w:hint="default"/>
          <w:sz w:val="32"/>
          <w:szCs w:val="28"/>
        </w:rPr>
        <w:t>以 “四好商会” 创建为导向</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3" w:firstLineChars="200"/>
        <w:rPr>
          <w:rFonts w:hint="eastAsia" w:ascii="仿宋" w:hAnsi="仿宋" w:eastAsia="仿宋" w:cs="仿宋"/>
          <w:sz w:val="32"/>
          <w:szCs w:val="32"/>
        </w:rPr>
      </w:pPr>
      <w:r>
        <w:rPr>
          <w:rStyle w:val="12"/>
          <w:rFonts w:hint="eastAsia" w:ascii="仿宋" w:hAnsi="仿宋" w:eastAsia="仿宋" w:cs="仿宋"/>
          <w:sz w:val="32"/>
          <w:szCs w:val="32"/>
          <w:lang w:val="en-US" w:eastAsia="zh-CN"/>
        </w:rPr>
        <w:t>（1）</w:t>
      </w:r>
      <w:r>
        <w:rPr>
          <w:rStyle w:val="12"/>
          <w:rFonts w:hint="eastAsia" w:ascii="仿宋" w:hAnsi="仿宋" w:eastAsia="仿宋" w:cs="仿宋"/>
          <w:sz w:val="32"/>
          <w:szCs w:val="32"/>
        </w:rPr>
        <w:t>加强班子建设：</w:t>
      </w:r>
      <w:r>
        <w:rPr>
          <w:rFonts w:hint="eastAsia" w:ascii="仿宋" w:hAnsi="仿宋" w:eastAsia="仿宋" w:cs="仿宋"/>
          <w:i w:val="0"/>
          <w:iCs w:val="0"/>
          <w:caps w:val="0"/>
          <w:color w:val="1C1F23"/>
          <w:spacing w:val="0"/>
          <w:sz w:val="32"/>
          <w:szCs w:val="32"/>
          <w:shd w:val="clear" w:fill="FFFFFF"/>
        </w:rPr>
        <w:t>选拔和培养有能力、有担当、有奉献精神的商会领导班子成员，定期开展班子内部培训与交流活动，提升班子整体领导力与决策水平，确保在商会事务管理与发展规划中发挥核心引领作用。</w:t>
      </w:r>
    </w:p>
    <w:p>
      <w:pPr>
        <w:keepNext w:val="0"/>
        <w:keepLines w:val="0"/>
        <w:widowControl/>
        <w:numPr>
          <w:ilvl w:val="0"/>
          <w:numId w:val="0"/>
        </w:numPr>
        <w:suppressLineNumbers w:val="0"/>
        <w:pBdr>
          <w:left w:val="none" w:color="auto" w:sz="0" w:space="0"/>
        </w:pBdr>
        <w:spacing w:before="120" w:beforeAutospacing="0" w:after="0" w:afterAutospacing="0"/>
        <w:ind w:right="0" w:rightChars="0" w:firstLine="643" w:firstLineChars="200"/>
        <w:rPr>
          <w:rFonts w:hint="eastAsia" w:ascii="仿宋" w:hAnsi="仿宋" w:eastAsia="仿宋" w:cs="仿宋"/>
          <w:sz w:val="32"/>
          <w:szCs w:val="32"/>
        </w:rPr>
      </w:pPr>
      <w:r>
        <w:rPr>
          <w:rStyle w:val="12"/>
          <w:rFonts w:hint="eastAsia" w:ascii="仿宋" w:hAnsi="仿宋" w:eastAsia="仿宋" w:cs="仿宋"/>
          <w:b/>
          <w:sz w:val="32"/>
          <w:szCs w:val="32"/>
          <w:lang w:val="en-US" w:eastAsia="zh-CN"/>
        </w:rPr>
        <w:t>（2）深化团结教育：</w:t>
      </w:r>
      <w:r>
        <w:rPr>
          <w:rFonts w:hint="eastAsia" w:ascii="仿宋" w:hAnsi="仿宋" w:eastAsia="仿宋" w:cs="仿宋"/>
          <w:i w:val="0"/>
          <w:iCs w:val="0"/>
          <w:caps w:val="0"/>
          <w:color w:val="1C1F23"/>
          <w:spacing w:val="0"/>
          <w:sz w:val="32"/>
          <w:szCs w:val="32"/>
          <w:shd w:val="clear" w:fill="FFFFFF"/>
        </w:rPr>
        <w:t>组织会员企业开展各类思想政治教育活动，如专题讲座、研讨会等，深入学习党的方针政策、法律法规以及行业规范，增强会员企业的政治意识、大局意识与法律意识，促进会员企业之间的团结协作与信息共享。</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3" w:firstLineChars="200"/>
        <w:rPr>
          <w:rStyle w:val="12"/>
          <w:rFonts w:hint="eastAsia" w:ascii="仿宋" w:hAnsi="仿宋" w:eastAsia="仿宋" w:cs="仿宋"/>
          <w:b/>
          <w:sz w:val="32"/>
          <w:szCs w:val="28"/>
          <w:lang w:val="en-US" w:eastAsia="zh-CN"/>
        </w:rPr>
      </w:pPr>
      <w:r>
        <w:rPr>
          <w:rStyle w:val="12"/>
          <w:rFonts w:hint="eastAsia" w:ascii="仿宋" w:hAnsi="仿宋" w:eastAsia="仿宋" w:cs="仿宋"/>
          <w:b/>
          <w:sz w:val="32"/>
          <w:szCs w:val="28"/>
          <w:lang w:val="en-US" w:eastAsia="zh-CN"/>
        </w:rPr>
        <w:t>（3）优化服务发展：</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3" w:firstLineChars="200"/>
        <w:rPr>
          <w:rFonts w:hint="eastAsia" w:ascii="仿宋" w:hAnsi="仿宋" w:eastAsia="仿宋" w:cs="仿宋"/>
          <w:sz w:val="32"/>
          <w:szCs w:val="32"/>
        </w:rPr>
      </w:pPr>
      <w:r>
        <w:rPr>
          <w:rStyle w:val="11"/>
          <w:rFonts w:hint="eastAsia" w:ascii="仿宋" w:hAnsi="仿宋" w:eastAsia="仿宋" w:cs="仿宋"/>
          <w:b/>
          <w:bCs/>
          <w:i w:val="0"/>
          <w:iCs w:val="0"/>
          <w:caps w:val="0"/>
          <w:color w:val="1C1F23"/>
          <w:spacing w:val="0"/>
          <w:sz w:val="32"/>
          <w:szCs w:val="32"/>
          <w:shd w:val="clear" w:fill="FFFFFF"/>
        </w:rPr>
        <w:t>信息服务平台构建</w:t>
      </w:r>
      <w:r>
        <w:rPr>
          <w:rFonts w:hint="eastAsia" w:ascii="仿宋" w:hAnsi="仿宋" w:eastAsia="仿宋" w:cs="仿宋"/>
          <w:i w:val="0"/>
          <w:iCs w:val="0"/>
          <w:caps w:val="0"/>
          <w:color w:val="1C1F23"/>
          <w:spacing w:val="0"/>
          <w:sz w:val="32"/>
          <w:szCs w:val="32"/>
          <w:shd w:val="clear" w:fill="FFFFFF"/>
        </w:rPr>
        <w:t>：建立专业的信息收集与发布渠道，包括行业动态、市场趋势、政策法规解读等内容，通过商会网站、微信</w:t>
      </w:r>
      <w:r>
        <w:rPr>
          <w:rFonts w:hint="eastAsia" w:ascii="仿宋" w:hAnsi="仿宋" w:eastAsia="仿宋" w:cs="仿宋"/>
          <w:i w:val="0"/>
          <w:iCs w:val="0"/>
          <w:caps w:val="0"/>
          <w:color w:val="1C1F23"/>
          <w:spacing w:val="0"/>
          <w:sz w:val="32"/>
          <w:szCs w:val="32"/>
          <w:shd w:val="clear" w:fill="FFFFFF"/>
          <w:lang w:val="en-US" w:eastAsia="zh-CN"/>
        </w:rPr>
        <w:t>群</w:t>
      </w:r>
      <w:r>
        <w:rPr>
          <w:rFonts w:hint="eastAsia" w:ascii="仿宋" w:hAnsi="仿宋" w:eastAsia="仿宋" w:cs="仿宋"/>
          <w:i w:val="0"/>
          <w:iCs w:val="0"/>
          <w:caps w:val="0"/>
          <w:color w:val="1C1F23"/>
          <w:spacing w:val="0"/>
          <w:sz w:val="32"/>
          <w:szCs w:val="32"/>
          <w:shd w:val="clear" w:fill="FFFFFF"/>
        </w:rPr>
        <w:t>等多种载体及时推送，为会员企业提供精准、及时的信息支持。</w:t>
      </w:r>
    </w:p>
    <w:p>
      <w:pPr>
        <w:keepNext w:val="0"/>
        <w:keepLines w:val="0"/>
        <w:widowControl/>
        <w:numPr>
          <w:ilvl w:val="0"/>
          <w:numId w:val="0"/>
        </w:numPr>
        <w:suppressLineNumbers w:val="0"/>
        <w:pBdr>
          <w:left w:val="none" w:color="auto" w:sz="0" w:space="0"/>
        </w:pBdr>
        <w:spacing w:before="120" w:beforeAutospacing="0" w:after="0" w:afterAutospacing="0"/>
        <w:ind w:right="0" w:rightChars="0" w:firstLine="643" w:firstLineChars="200"/>
        <w:rPr>
          <w:rFonts w:hint="eastAsia" w:ascii="仿宋" w:hAnsi="仿宋" w:eastAsia="仿宋" w:cs="仿宋"/>
          <w:sz w:val="32"/>
          <w:szCs w:val="32"/>
        </w:rPr>
      </w:pPr>
      <w:r>
        <w:rPr>
          <w:rStyle w:val="11"/>
          <w:rFonts w:hint="eastAsia" w:ascii="仿宋" w:hAnsi="仿宋" w:eastAsia="仿宋" w:cs="仿宋"/>
          <w:b/>
          <w:bCs/>
          <w:i w:val="0"/>
          <w:iCs w:val="0"/>
          <w:caps w:val="0"/>
          <w:color w:val="1C1F23"/>
          <w:spacing w:val="0"/>
          <w:sz w:val="32"/>
          <w:szCs w:val="32"/>
          <w:shd w:val="clear" w:fill="FFFFFF"/>
        </w:rPr>
        <w:t>政策法规宣传</w:t>
      </w:r>
      <w:r>
        <w:rPr>
          <w:rFonts w:hint="eastAsia" w:ascii="仿宋" w:hAnsi="仿宋" w:eastAsia="仿宋" w:cs="仿宋"/>
          <w:i w:val="0"/>
          <w:iCs w:val="0"/>
          <w:caps w:val="0"/>
          <w:color w:val="1C1F23"/>
          <w:spacing w:val="0"/>
          <w:sz w:val="32"/>
          <w:szCs w:val="32"/>
          <w:shd w:val="clear" w:fill="FFFFFF"/>
        </w:rPr>
        <w:t>：定期举办政策法规宣讲会，邀请政府部门</w:t>
      </w:r>
      <w:r>
        <w:rPr>
          <w:rFonts w:hint="eastAsia" w:ascii="仿宋" w:hAnsi="仿宋" w:eastAsia="仿宋" w:cs="仿宋"/>
          <w:i w:val="0"/>
          <w:iCs w:val="0"/>
          <w:caps w:val="0"/>
          <w:color w:val="1C1F23"/>
          <w:spacing w:val="0"/>
          <w:sz w:val="32"/>
          <w:szCs w:val="32"/>
          <w:shd w:val="clear" w:fill="FFFFFF"/>
          <w:lang w:val="en-US" w:eastAsia="zh-CN"/>
        </w:rPr>
        <w:t>干部</w:t>
      </w:r>
      <w:r>
        <w:rPr>
          <w:rFonts w:hint="eastAsia" w:ascii="仿宋" w:hAnsi="仿宋" w:eastAsia="仿宋" w:cs="仿宋"/>
          <w:i w:val="0"/>
          <w:iCs w:val="0"/>
          <w:caps w:val="0"/>
          <w:color w:val="1C1F23"/>
          <w:spacing w:val="0"/>
          <w:sz w:val="32"/>
          <w:szCs w:val="32"/>
          <w:shd w:val="clear" w:fill="FFFFFF"/>
        </w:rPr>
        <w:t>、法律专家等进行解读，帮助会员企业深入理解并合理运用相关政策法规，争取政策扶持与优惠，同时确保企业合法合规经营。</w:t>
      </w:r>
    </w:p>
    <w:p>
      <w:pPr>
        <w:bidi w:val="0"/>
        <w:ind w:firstLine="643" w:firstLineChars="200"/>
        <w:rPr>
          <w:rFonts w:hint="eastAsia" w:ascii="仿宋" w:hAnsi="仿宋" w:eastAsia="仿宋" w:cs="仿宋"/>
          <w:sz w:val="32"/>
          <w:szCs w:val="32"/>
        </w:rPr>
      </w:pPr>
      <w:r>
        <w:rPr>
          <w:rStyle w:val="11"/>
          <w:rFonts w:hint="eastAsia" w:ascii="仿宋" w:hAnsi="仿宋" w:eastAsia="仿宋" w:cs="仿宋"/>
          <w:b/>
          <w:bCs/>
          <w:i w:val="0"/>
          <w:iCs w:val="0"/>
          <w:caps w:val="0"/>
          <w:color w:val="1C1F23"/>
          <w:spacing w:val="0"/>
          <w:sz w:val="32"/>
          <w:szCs w:val="32"/>
          <w:shd w:val="clear" w:fill="FFFFFF"/>
        </w:rPr>
        <w:t>服务领域拓展</w:t>
      </w:r>
      <w:r>
        <w:rPr>
          <w:rFonts w:hint="eastAsia" w:ascii="仿宋" w:hAnsi="仿宋" w:eastAsia="仿宋" w:cs="仿宋"/>
          <w:i w:val="0"/>
          <w:iCs w:val="0"/>
          <w:caps w:val="0"/>
          <w:color w:val="1C1F23"/>
          <w:spacing w:val="0"/>
          <w:sz w:val="32"/>
          <w:szCs w:val="32"/>
          <w:shd w:val="clear" w:fill="FFFFFF"/>
        </w:rPr>
        <w:t>：</w:t>
      </w:r>
      <w:r>
        <w:rPr>
          <w:rFonts w:hint="eastAsia" w:ascii="仿宋" w:hAnsi="仿宋" w:eastAsia="仿宋" w:cs="仿宋"/>
          <w:i w:val="0"/>
          <w:iCs w:val="0"/>
          <w:caps w:val="0"/>
          <w:color w:val="1C1F23"/>
          <w:spacing w:val="0"/>
          <w:sz w:val="32"/>
          <w:szCs w:val="32"/>
          <w:shd w:val="clear" w:fill="FFFFFF"/>
          <w:lang w:val="en-US" w:eastAsia="zh-CN"/>
        </w:rPr>
        <w:t>继续做好</w:t>
      </w:r>
      <w:r>
        <w:rPr>
          <w:rFonts w:hint="eastAsia" w:ascii="仿宋" w:hAnsi="仿宋" w:eastAsia="仿宋" w:cs="仿宋"/>
          <w:i w:val="0"/>
          <w:iCs w:val="0"/>
          <w:caps w:val="0"/>
          <w:color w:val="1C1F23"/>
          <w:spacing w:val="0"/>
          <w:sz w:val="32"/>
          <w:szCs w:val="32"/>
          <w:shd w:val="clear" w:fill="FFFFFF"/>
        </w:rPr>
        <w:t>传统的融资搭台、技术培训</w:t>
      </w:r>
      <w:r>
        <w:rPr>
          <w:rFonts w:hint="eastAsia" w:ascii="仿宋" w:hAnsi="仿宋" w:eastAsia="仿宋" w:cs="仿宋"/>
          <w:i w:val="0"/>
          <w:iCs w:val="0"/>
          <w:caps w:val="0"/>
          <w:color w:val="1C1F23"/>
          <w:spacing w:val="0"/>
          <w:sz w:val="32"/>
          <w:szCs w:val="32"/>
          <w:shd w:val="clear" w:fill="FFFFFF"/>
          <w:lang w:eastAsia="zh-CN"/>
        </w:rPr>
        <w:t>、</w:t>
      </w:r>
      <w:r>
        <w:rPr>
          <w:rFonts w:hint="eastAsia" w:ascii="仿宋" w:hAnsi="仿宋" w:eastAsia="仿宋" w:cs="仿宋"/>
          <w:b w:val="0"/>
          <w:bCs w:val="0"/>
          <w:sz w:val="32"/>
          <w:szCs w:val="32"/>
          <w:lang w:val="en-US" w:eastAsia="zh-CN"/>
        </w:rPr>
        <w:t>环保服务、纠纷协调</w:t>
      </w:r>
      <w:r>
        <w:rPr>
          <w:rFonts w:hint="eastAsia" w:ascii="仿宋" w:hAnsi="仿宋" w:eastAsia="仿宋" w:cs="仿宋"/>
          <w:i w:val="0"/>
          <w:iCs w:val="0"/>
          <w:caps w:val="0"/>
          <w:color w:val="1C1F23"/>
          <w:spacing w:val="0"/>
          <w:sz w:val="32"/>
          <w:szCs w:val="32"/>
          <w:shd w:val="clear" w:fill="FFFFFF"/>
        </w:rPr>
        <w:t>等服务外，新增如企业管理咨询、市场营销策划、人力资源服务等多元化服务项目，根据会员企业需求提供定制化服务套餐，提高服务的针对性与实效性。</w:t>
      </w:r>
    </w:p>
    <w:p>
      <w:pPr>
        <w:keepNext w:val="0"/>
        <w:keepLines w:val="0"/>
        <w:widowControl/>
        <w:numPr>
          <w:ilvl w:val="0"/>
          <w:numId w:val="0"/>
        </w:numPr>
        <w:suppressLineNumbers w:val="0"/>
        <w:pBdr>
          <w:left w:val="none" w:color="auto" w:sz="0" w:space="0"/>
        </w:pBdr>
        <w:spacing w:before="120" w:beforeAutospacing="0" w:after="0" w:afterAutospacing="0"/>
        <w:ind w:right="0" w:rightChars="0" w:firstLine="643" w:firstLineChars="200"/>
        <w:rPr>
          <w:rFonts w:hint="default" w:ascii="Segoe UI" w:hAnsi="Segoe UI" w:eastAsia="Segoe UI" w:cs="Segoe UI"/>
          <w:i w:val="0"/>
          <w:iCs w:val="0"/>
          <w:caps w:val="0"/>
          <w:color w:val="1C1F23"/>
          <w:spacing w:val="0"/>
          <w:sz w:val="28"/>
          <w:szCs w:val="28"/>
          <w:shd w:val="clear" w:fill="FFFFFF"/>
        </w:rPr>
      </w:pPr>
      <w:r>
        <w:rPr>
          <w:rStyle w:val="12"/>
          <w:rFonts w:hint="eastAsia" w:ascii="仿宋" w:hAnsi="仿宋" w:eastAsia="仿宋" w:cs="仿宋"/>
          <w:b/>
          <w:sz w:val="32"/>
          <w:szCs w:val="32"/>
          <w:lang w:val="en-US" w:eastAsia="zh-CN"/>
        </w:rPr>
        <w:t>（4）强化自律规范：</w:t>
      </w:r>
      <w:r>
        <w:rPr>
          <w:rFonts w:hint="eastAsia" w:ascii="仿宋" w:hAnsi="仿宋" w:eastAsia="仿宋" w:cs="仿宋"/>
          <w:i w:val="0"/>
          <w:iCs w:val="0"/>
          <w:caps w:val="0"/>
          <w:color w:val="1C1F23"/>
          <w:spacing w:val="0"/>
          <w:sz w:val="32"/>
          <w:szCs w:val="32"/>
          <w:shd w:val="clear" w:fill="FFFFFF"/>
        </w:rPr>
        <w:t>制定并完善商会内部的自律公约与规章制度，建立健全会员企业信用评价体系，对会员企业的经营行为进行监督与评估，</w:t>
      </w:r>
      <w:bookmarkStart w:id="0" w:name="_GoBack"/>
      <w:bookmarkEnd w:id="0"/>
      <w:r>
        <w:rPr>
          <w:rFonts w:hint="eastAsia" w:ascii="仿宋" w:hAnsi="仿宋" w:eastAsia="仿宋" w:cs="仿宋"/>
          <w:i w:val="0"/>
          <w:iCs w:val="0"/>
          <w:caps w:val="0"/>
          <w:color w:val="1C1F23"/>
          <w:spacing w:val="0"/>
          <w:sz w:val="32"/>
          <w:szCs w:val="32"/>
          <w:shd w:val="clear" w:fill="FFFFFF"/>
        </w:rPr>
        <w:t>维护商会良好形象与市场秩序。</w:t>
      </w:r>
    </w:p>
    <w:p>
      <w:pPr>
        <w:pStyle w:val="5"/>
        <w:numPr>
          <w:ilvl w:val="0"/>
          <w:numId w:val="1"/>
        </w:numPr>
        <w:bidi w:val="0"/>
        <w:ind w:left="570" w:leftChars="0" w:firstLineChars="0"/>
        <w:rPr>
          <w:rFonts w:hint="default"/>
          <w:b/>
          <w:sz w:val="32"/>
          <w:szCs w:val="28"/>
        </w:rPr>
      </w:pPr>
      <w:r>
        <w:rPr>
          <w:rFonts w:hint="default"/>
          <w:b/>
          <w:sz w:val="32"/>
          <w:szCs w:val="28"/>
        </w:rPr>
        <w:t>创新理论武装与实践发展</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sz w:val="32"/>
          <w:szCs w:val="32"/>
        </w:rPr>
      </w:pPr>
      <w:r>
        <w:rPr>
          <w:rFonts w:hint="eastAsia" w:ascii="仿宋" w:hAnsi="仿宋" w:eastAsia="仿宋" w:cs="仿宋"/>
          <w:i w:val="0"/>
          <w:iCs w:val="0"/>
          <w:caps w:val="0"/>
          <w:color w:val="1C1F23"/>
          <w:spacing w:val="0"/>
          <w:sz w:val="32"/>
          <w:szCs w:val="32"/>
          <w:shd w:val="clear" w:fill="FFFFFF"/>
        </w:rPr>
        <w:t>定期组织商会成员参加各类创新发展论坛、培训课程与学术交流活动，学习先进的商业理念、管理模式与创新技术，鼓励会员企业将创新思维融入企业日常运营与发展战略中。</w:t>
      </w:r>
    </w:p>
    <w:p>
      <w:pPr>
        <w:pStyle w:val="4"/>
        <w:bidi w:val="0"/>
        <w:rPr>
          <w:rFonts w:ascii="宋体" w:hAnsi="宋体" w:eastAsia="宋体" w:cs="宋体"/>
          <w:sz w:val="36"/>
          <w:szCs w:val="36"/>
        </w:rPr>
      </w:pPr>
      <w:r>
        <w:rPr>
          <w:rFonts w:ascii="宋体" w:hAnsi="宋体" w:eastAsia="宋体" w:cs="宋体"/>
          <w:sz w:val="36"/>
          <w:szCs w:val="36"/>
        </w:rPr>
        <w:t>（二）推进会长轮值工作常态化</w:t>
      </w:r>
    </w:p>
    <w:p>
      <w:pPr>
        <w:pStyle w:val="5"/>
        <w:numPr>
          <w:ilvl w:val="0"/>
          <w:numId w:val="2"/>
        </w:numPr>
        <w:bidi w:val="0"/>
        <w:rPr>
          <w:sz w:val="32"/>
          <w:szCs w:val="28"/>
        </w:rPr>
      </w:pPr>
      <w:r>
        <w:rPr>
          <w:rFonts w:hint="default"/>
          <w:sz w:val="32"/>
          <w:szCs w:val="28"/>
        </w:rPr>
        <w:t>严格执行会长轮值制度</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制定详细的会长轮值计划，明确每位会长的轮值时间、职责范围与工作任务，确保轮值工作的连续性与稳定性。</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sz w:val="32"/>
          <w:szCs w:val="28"/>
        </w:rPr>
      </w:pPr>
      <w:r>
        <w:rPr>
          <w:rFonts w:hint="default" w:ascii="仿宋" w:hAnsi="仿宋" w:eastAsia="仿宋" w:cs="仿宋"/>
          <w:i w:val="0"/>
          <w:iCs w:val="0"/>
          <w:caps w:val="0"/>
          <w:color w:val="1C1F23"/>
          <w:spacing w:val="0"/>
          <w:sz w:val="32"/>
          <w:szCs w:val="32"/>
          <w:shd w:val="clear" w:fill="FFFFFF"/>
        </w:rPr>
        <w:t>在轮值期间，轮值会长需全面负责商会日常事务管理，包括组织召开商会会议、协调会员关系、处理突发事件等，同时要积极开展走访会员企业活动，深入了解企业需求与困难，及时提供帮助与支持。</w:t>
      </w:r>
    </w:p>
    <w:p>
      <w:pPr>
        <w:pStyle w:val="5"/>
        <w:numPr>
          <w:ilvl w:val="0"/>
          <w:numId w:val="2"/>
        </w:numPr>
        <w:bidi w:val="0"/>
        <w:rPr>
          <w:rFonts w:hint="default"/>
          <w:b/>
          <w:sz w:val="32"/>
          <w:szCs w:val="28"/>
        </w:rPr>
      </w:pPr>
      <w:r>
        <w:rPr>
          <w:rFonts w:hint="default"/>
          <w:b/>
          <w:sz w:val="32"/>
          <w:szCs w:val="28"/>
        </w:rPr>
        <w:t>提升商会管理与服务水平</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轮值会长应以身作则，带头遵守商会规章制度，积极履行职责，充分发挥自身资源优势与领导才能，为商会发展出谋划策，推动商会各项工作顺利开展。</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通过会长轮值制度，促进商会管理团队之间的沟通协作与经验交流，形成相互学习、相互监督的良好氛围，不断优化商会管理流程与服务机制，提高商会整体工作效率与服务质量。</w:t>
      </w:r>
    </w:p>
    <w:p>
      <w:pPr>
        <w:pStyle w:val="4"/>
        <w:bidi w:val="0"/>
        <w:rPr>
          <w:rFonts w:ascii="宋体" w:hAnsi="宋体" w:eastAsia="宋体" w:cs="宋体"/>
          <w:sz w:val="36"/>
          <w:szCs w:val="36"/>
        </w:rPr>
      </w:pPr>
      <w:r>
        <w:rPr>
          <w:rFonts w:ascii="宋体" w:hAnsi="宋体" w:eastAsia="宋体" w:cs="宋体"/>
          <w:sz w:val="36"/>
          <w:szCs w:val="36"/>
        </w:rPr>
        <w:t>（三）组织会长会员企业外出考察与交流活动</w:t>
      </w:r>
    </w:p>
    <w:p>
      <w:pPr>
        <w:pStyle w:val="5"/>
        <w:numPr>
          <w:ilvl w:val="0"/>
          <w:numId w:val="3"/>
        </w:numPr>
        <w:bidi w:val="0"/>
        <w:rPr>
          <w:sz w:val="32"/>
          <w:szCs w:val="28"/>
        </w:rPr>
      </w:pPr>
      <w:r>
        <w:rPr>
          <w:rFonts w:hint="default"/>
          <w:sz w:val="32"/>
          <w:szCs w:val="28"/>
        </w:rPr>
        <w:t>考察交流规划制定</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根据渔网产业发展需求与会员企业兴趣点，制定年度外出考察计划，确定考察目的地、考察内容与行程安排。优先选择国内外渔网产业发达地区或相关行业先进企业作为考察对象，如山东威海渔具产业集群、</w:t>
      </w:r>
      <w:r>
        <w:rPr>
          <w:rFonts w:hint="eastAsia" w:ascii="仿宋" w:hAnsi="仿宋" w:eastAsia="仿宋" w:cs="仿宋"/>
          <w:i w:val="0"/>
          <w:iCs w:val="0"/>
          <w:caps w:val="0"/>
          <w:color w:val="1C1F23"/>
          <w:spacing w:val="0"/>
          <w:sz w:val="32"/>
          <w:szCs w:val="32"/>
          <w:shd w:val="clear" w:fill="FFFFFF"/>
          <w:lang w:val="en-US" w:eastAsia="zh-CN"/>
        </w:rPr>
        <w:t>江苏</w:t>
      </w:r>
      <w:r>
        <w:rPr>
          <w:rFonts w:hint="default" w:ascii="仿宋" w:hAnsi="仿宋" w:eastAsia="仿宋" w:cs="仿宋"/>
          <w:i w:val="0"/>
          <w:iCs w:val="0"/>
          <w:caps w:val="0"/>
          <w:color w:val="1C1F23"/>
          <w:spacing w:val="0"/>
          <w:sz w:val="32"/>
          <w:szCs w:val="32"/>
          <w:shd w:val="clear" w:fill="FFFFFF"/>
        </w:rPr>
        <w:t>渔具产业集群等。</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每次考察活动前，做好充分的准备工作，包括与考察对象的沟通协调、考察资料收集整理、考察人员组织培训等，确保考察活动的顺利进行与预期效果达成。</w:t>
      </w:r>
    </w:p>
    <w:p>
      <w:pPr>
        <w:pStyle w:val="5"/>
        <w:numPr>
          <w:ilvl w:val="0"/>
          <w:numId w:val="3"/>
        </w:numPr>
        <w:bidi w:val="0"/>
        <w:rPr>
          <w:sz w:val="32"/>
          <w:szCs w:val="28"/>
        </w:rPr>
      </w:pPr>
      <w:r>
        <w:rPr>
          <w:rFonts w:hint="default"/>
          <w:sz w:val="32"/>
          <w:szCs w:val="28"/>
        </w:rPr>
        <w:t>以商引商与经验借鉴</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在考察过程中，积极与当地企业、行业协会、政府部门等进行交流互动，宣传槐林渔网产业优势与投资环境，寻求合作机会与发展商机，充分发挥以商引商的作用，吸引外部资源与投资进入槐林渔网产业。</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lang w:val="en-US" w:eastAsia="zh-CN"/>
        </w:rPr>
      </w:pPr>
      <w:r>
        <w:rPr>
          <w:rFonts w:hint="default" w:ascii="仿宋" w:hAnsi="仿宋" w:eastAsia="仿宋" w:cs="仿宋"/>
          <w:i w:val="0"/>
          <w:iCs w:val="0"/>
          <w:caps w:val="0"/>
          <w:color w:val="1C1F23"/>
          <w:spacing w:val="0"/>
          <w:sz w:val="32"/>
          <w:szCs w:val="32"/>
          <w:shd w:val="clear" w:fill="FFFFFF"/>
        </w:rPr>
        <w:t>组织会员企业深入学习考察对象的先进生产技术、管理经验、市场营销策略等，鼓励会员企业结合自身实际情况进行借鉴与创新，推动槐林渔网企业转型升级与竞争力提升。</w:t>
      </w:r>
    </w:p>
    <w:p>
      <w:pPr>
        <w:pStyle w:val="5"/>
        <w:numPr>
          <w:ilvl w:val="0"/>
          <w:numId w:val="3"/>
        </w:numPr>
        <w:bidi w:val="0"/>
        <w:rPr>
          <w:sz w:val="32"/>
          <w:szCs w:val="28"/>
        </w:rPr>
      </w:pPr>
      <w:r>
        <w:rPr>
          <w:rFonts w:hint="default"/>
          <w:sz w:val="32"/>
          <w:szCs w:val="28"/>
        </w:rPr>
        <w:t>交流平台搭建与后续跟进</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考察结束后，及时组织召开考察总结分享会，让会员企业分享考察心得与体会，共同探讨如何将考察成果转化为实际行动，促进会员企业之间的合作与协同发展。</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建立考察交流活动长效跟踪机制，对在考察过程中达成的合作意向、引进的技术项目等进行持续跟踪与服务，确保相关项目顺利落地实施并取得实效。</w:t>
      </w:r>
    </w:p>
    <w:p>
      <w:pPr>
        <w:pStyle w:val="4"/>
        <w:bidi w:val="0"/>
        <w:rPr>
          <w:rFonts w:ascii="宋体" w:hAnsi="宋体" w:eastAsia="宋体" w:cs="宋体"/>
          <w:sz w:val="36"/>
          <w:szCs w:val="36"/>
        </w:rPr>
      </w:pPr>
      <w:r>
        <w:rPr>
          <w:rFonts w:ascii="宋体" w:hAnsi="宋体" w:eastAsia="宋体" w:cs="宋体"/>
          <w:sz w:val="36"/>
          <w:szCs w:val="36"/>
        </w:rPr>
        <w:t>（四）壮大会员队伍</w:t>
      </w:r>
    </w:p>
    <w:p>
      <w:pPr>
        <w:pStyle w:val="5"/>
        <w:numPr>
          <w:ilvl w:val="0"/>
          <w:numId w:val="4"/>
        </w:numPr>
        <w:bidi w:val="0"/>
        <w:rPr>
          <w:sz w:val="32"/>
          <w:szCs w:val="28"/>
        </w:rPr>
      </w:pPr>
      <w:r>
        <w:rPr>
          <w:rFonts w:hint="default"/>
          <w:sz w:val="32"/>
          <w:szCs w:val="28"/>
        </w:rPr>
        <w:t>会员发展目标设定</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制定明确的会员发展目标，重点关注渔网产业链上下游相关企业，如原材料供应商、渔具配件制造商、渔具销售商等，以及有潜力、有创新能力的新兴渔网企业。</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特别注重吸收年轻一代渔网企业人加入商会，为商会注入新鲜血液与创新活力，为年轻企业家提供交流合作与成长发展的平台。</w:t>
      </w:r>
    </w:p>
    <w:p>
      <w:pPr>
        <w:pStyle w:val="5"/>
        <w:numPr>
          <w:ilvl w:val="0"/>
          <w:numId w:val="4"/>
        </w:numPr>
        <w:bidi w:val="0"/>
        <w:rPr>
          <w:rFonts w:hint="default"/>
          <w:b/>
          <w:sz w:val="32"/>
          <w:szCs w:val="28"/>
        </w:rPr>
      </w:pPr>
      <w:r>
        <w:rPr>
          <w:rFonts w:hint="default"/>
          <w:b/>
          <w:sz w:val="32"/>
          <w:szCs w:val="28"/>
        </w:rPr>
        <w:t>会员招募与服务优化</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开展多种形式的会员招募活动，如参加行业展会、举办招商推介会、开展企业走访宣传等，广泛宣传商会的宗旨、功能与服务优势，吸引更多优质企业加入商会。</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不断优化会员服务体系，根据新会员企业特点与需求，提供个性化的入会服务与扶持政策，如免费的企业宣传推广、优先参与商会活动与项目合作、提供创业辅导与培训等，提高商会对新会员企业的吸引力与凝聚力。</w:t>
      </w:r>
    </w:p>
    <w:p>
      <w:pPr>
        <w:pStyle w:val="4"/>
        <w:bidi w:val="0"/>
        <w:rPr>
          <w:rFonts w:ascii="宋体" w:hAnsi="宋体" w:eastAsia="宋体" w:cs="宋体"/>
          <w:sz w:val="36"/>
          <w:szCs w:val="36"/>
        </w:rPr>
      </w:pPr>
      <w:r>
        <w:rPr>
          <w:rFonts w:ascii="宋体" w:hAnsi="宋体" w:eastAsia="宋体" w:cs="宋体"/>
          <w:sz w:val="36"/>
          <w:szCs w:val="36"/>
        </w:rPr>
        <w:t>（五）助力会员企业交流与合作</w:t>
      </w:r>
    </w:p>
    <w:p>
      <w:pPr>
        <w:pStyle w:val="5"/>
        <w:numPr>
          <w:ilvl w:val="0"/>
          <w:numId w:val="5"/>
        </w:numPr>
        <w:bidi w:val="0"/>
        <w:rPr>
          <w:sz w:val="32"/>
          <w:szCs w:val="28"/>
        </w:rPr>
      </w:pPr>
      <w:r>
        <w:rPr>
          <w:rFonts w:hint="default"/>
          <w:sz w:val="32"/>
          <w:szCs w:val="28"/>
        </w:rPr>
        <w:t>转变观念与合作引导</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通过举办行业论坛、座谈会、经验分享会等活动，引导会员企业摒弃 “同行是冤家” 的传统观念，</w:t>
      </w:r>
      <w:r>
        <w:rPr>
          <w:rFonts w:hint="eastAsia" w:ascii="仿宋" w:hAnsi="仿宋" w:eastAsia="仿宋" w:cs="仿宋"/>
          <w:i w:val="0"/>
          <w:iCs w:val="0"/>
          <w:caps w:val="0"/>
          <w:color w:val="1C1F23"/>
          <w:spacing w:val="0"/>
          <w:sz w:val="32"/>
          <w:szCs w:val="32"/>
          <w:shd w:val="clear" w:fill="FFFFFF"/>
          <w:lang w:val="en-US" w:eastAsia="zh-CN"/>
        </w:rPr>
        <w:t>树立“小舢板不能抗击商海巨浪，只有联合舰队才能破浪前进”的</w:t>
      </w:r>
      <w:r>
        <w:rPr>
          <w:rFonts w:hint="default" w:ascii="仿宋" w:hAnsi="仿宋" w:eastAsia="仿宋" w:cs="仿宋"/>
          <w:i w:val="0"/>
          <w:iCs w:val="0"/>
          <w:caps w:val="0"/>
          <w:color w:val="1C1F23"/>
          <w:spacing w:val="0"/>
          <w:sz w:val="32"/>
          <w:szCs w:val="32"/>
          <w:shd w:val="clear" w:fill="FFFFFF"/>
        </w:rPr>
        <w:t>合作共赢发展理念，认识到联合发展的重要性与必要性。</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组织开展会员企业之间的互访活动，增进企业之间的了解与信任，为企业合作搭建基础平台。</w:t>
      </w:r>
    </w:p>
    <w:p>
      <w:pPr>
        <w:pStyle w:val="5"/>
        <w:numPr>
          <w:ilvl w:val="0"/>
          <w:numId w:val="5"/>
        </w:numPr>
        <w:bidi w:val="0"/>
        <w:rPr>
          <w:sz w:val="32"/>
          <w:szCs w:val="28"/>
        </w:rPr>
      </w:pPr>
      <w:r>
        <w:rPr>
          <w:rFonts w:hint="default"/>
          <w:sz w:val="32"/>
          <w:szCs w:val="28"/>
        </w:rPr>
        <w:t>合作模式探索与推动</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鼓励会员企业在生产制造、技术研发、市场营销、品牌建设等方面开展多种形式的合作，如联合采购降低成本、共同研发新产品新技术、共享销售渠道拓展市场、联合打造</w:t>
      </w:r>
      <w:r>
        <w:rPr>
          <w:rFonts w:hint="eastAsia" w:ascii="仿宋" w:hAnsi="仿宋" w:eastAsia="仿宋" w:cs="仿宋"/>
          <w:i w:val="0"/>
          <w:iCs w:val="0"/>
          <w:caps w:val="0"/>
          <w:color w:val="1C1F23"/>
          <w:spacing w:val="0"/>
          <w:sz w:val="32"/>
          <w:szCs w:val="32"/>
          <w:shd w:val="clear" w:fill="FFFFFF"/>
          <w:lang w:val="en-US" w:eastAsia="zh-CN"/>
        </w:rPr>
        <w:t>槐林渔网</w:t>
      </w:r>
      <w:r>
        <w:rPr>
          <w:rFonts w:hint="default" w:ascii="仿宋" w:hAnsi="仿宋" w:eastAsia="仿宋" w:cs="仿宋"/>
          <w:i w:val="0"/>
          <w:iCs w:val="0"/>
          <w:caps w:val="0"/>
          <w:color w:val="1C1F23"/>
          <w:spacing w:val="0"/>
          <w:sz w:val="32"/>
          <w:szCs w:val="32"/>
          <w:shd w:val="clear" w:fill="FFFFFF"/>
        </w:rPr>
        <w:t>品牌提升影响力等。</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ascii="宋体" w:hAnsi="宋体" w:eastAsia="宋体" w:cs="宋体"/>
          <w:sz w:val="36"/>
          <w:szCs w:val="36"/>
        </w:rPr>
      </w:pPr>
      <w:r>
        <w:rPr>
          <w:rFonts w:hint="default" w:ascii="仿宋" w:hAnsi="仿宋" w:eastAsia="仿宋" w:cs="仿宋"/>
          <w:i w:val="0"/>
          <w:iCs w:val="0"/>
          <w:caps w:val="0"/>
          <w:color w:val="1C1F23"/>
          <w:spacing w:val="0"/>
          <w:sz w:val="32"/>
          <w:szCs w:val="32"/>
          <w:shd w:val="clear" w:fill="FFFFFF"/>
        </w:rPr>
        <w:t>商会积极发挥协调与服务作用，为会员企业合作提供政策咨询、合同起草、纠纷调解等支持，确保合作项目顺利推进与各方权益得到保障。</w:t>
      </w:r>
    </w:p>
    <w:p>
      <w:pPr>
        <w:pStyle w:val="4"/>
        <w:bidi w:val="0"/>
        <w:rPr>
          <w:rFonts w:ascii="宋体" w:hAnsi="宋体" w:eastAsia="宋体" w:cs="宋体"/>
          <w:sz w:val="36"/>
          <w:szCs w:val="36"/>
        </w:rPr>
      </w:pPr>
      <w:r>
        <w:rPr>
          <w:rFonts w:ascii="宋体" w:hAnsi="宋体" w:eastAsia="宋体" w:cs="宋体"/>
          <w:sz w:val="36"/>
          <w:szCs w:val="36"/>
        </w:rPr>
        <w:t>（六）建立健全槐林渔网企业信息化平台</w:t>
      </w:r>
    </w:p>
    <w:p>
      <w:pPr>
        <w:pStyle w:val="5"/>
        <w:numPr>
          <w:ilvl w:val="0"/>
          <w:numId w:val="6"/>
        </w:numPr>
        <w:bidi w:val="0"/>
        <w:rPr>
          <w:sz w:val="32"/>
          <w:szCs w:val="28"/>
        </w:rPr>
      </w:pPr>
      <w:r>
        <w:rPr>
          <w:rFonts w:hint="default"/>
          <w:sz w:val="32"/>
          <w:szCs w:val="28"/>
        </w:rPr>
        <w:t>平台建设规划与实施</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制定槐林渔网企业信息化平台建设方案，明确平台功能模块与技术架构，包括会员企业信息数据库、产品展示与交易平台、行业资讯发布平台、商务合作对接平台等。投入资金与技术力量，开展平台的开发建设与测试工作，确保平台的稳定性、安全性与易用性。同时，加强与相关互联网企业、电商平台的合作，整合资源，提升平台的服务能力与市场影响力。</w:t>
      </w:r>
    </w:p>
    <w:p>
      <w:pPr>
        <w:pStyle w:val="5"/>
        <w:numPr>
          <w:ilvl w:val="0"/>
          <w:numId w:val="6"/>
        </w:numPr>
        <w:bidi w:val="0"/>
        <w:rPr>
          <w:sz w:val="32"/>
          <w:szCs w:val="28"/>
        </w:rPr>
      </w:pPr>
      <w:r>
        <w:rPr>
          <w:rFonts w:hint="default"/>
          <w:sz w:val="32"/>
          <w:szCs w:val="28"/>
        </w:rPr>
        <w:t>诚信建设与风险防控</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sz w:val="32"/>
          <w:szCs w:val="28"/>
        </w:rPr>
      </w:pPr>
      <w:r>
        <w:rPr>
          <w:rFonts w:hint="default" w:ascii="仿宋" w:hAnsi="仿宋" w:eastAsia="仿宋" w:cs="仿宋"/>
          <w:i w:val="0"/>
          <w:iCs w:val="0"/>
          <w:caps w:val="0"/>
          <w:color w:val="1C1F23"/>
          <w:spacing w:val="0"/>
          <w:sz w:val="32"/>
          <w:szCs w:val="32"/>
          <w:shd w:val="clear" w:fill="FFFFFF"/>
        </w:rPr>
        <w:t>依托信息平台建立完善的会员企业诚信评价体系，收集会员企业的经营数据、信用记录、社会责任履行情况等信息，通过大数据分析与信用评分模型，对会员企业诚信等级进行评定与公示。保障交易过程的安全与规范，降低会员企业合作风险，维护诚信会员企业的合法权益。</w:t>
      </w:r>
    </w:p>
    <w:p>
      <w:pPr>
        <w:pStyle w:val="4"/>
        <w:bidi w:val="0"/>
        <w:rPr>
          <w:rFonts w:ascii="宋体" w:hAnsi="宋体" w:eastAsia="宋体" w:cs="宋体"/>
          <w:sz w:val="36"/>
          <w:szCs w:val="36"/>
        </w:rPr>
      </w:pPr>
      <w:r>
        <w:rPr>
          <w:rFonts w:ascii="宋体" w:hAnsi="宋体" w:eastAsia="宋体" w:cs="宋体"/>
          <w:sz w:val="36"/>
          <w:szCs w:val="36"/>
        </w:rPr>
        <w:t>（七）加强党建工作</w:t>
      </w:r>
    </w:p>
    <w:p>
      <w:pPr>
        <w:pStyle w:val="5"/>
        <w:numPr>
          <w:ilvl w:val="0"/>
          <w:numId w:val="7"/>
        </w:numPr>
        <w:bidi w:val="0"/>
        <w:rPr>
          <w:sz w:val="32"/>
          <w:szCs w:val="28"/>
        </w:rPr>
      </w:pPr>
      <w:r>
        <w:rPr>
          <w:rFonts w:hint="default"/>
          <w:sz w:val="32"/>
          <w:szCs w:val="28"/>
        </w:rPr>
        <w:t>理论学习与教育活动开展</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制定详细的党建学习计划，定期组织商会党员与会员企业负责人开展集中学习活动，深入学习习近平总书记系列重要讲话精神、党的二十大精神以及党的各项方针政策，通过</w:t>
      </w:r>
      <w:r>
        <w:rPr>
          <w:rFonts w:hint="eastAsia" w:ascii="仿宋" w:hAnsi="仿宋" w:eastAsia="仿宋" w:cs="仿宋"/>
          <w:i w:val="0"/>
          <w:iCs w:val="0"/>
          <w:caps w:val="0"/>
          <w:color w:val="1C1F23"/>
          <w:spacing w:val="0"/>
          <w:sz w:val="32"/>
          <w:szCs w:val="32"/>
          <w:shd w:val="clear" w:fill="FFFFFF"/>
          <w:lang w:val="en-US" w:eastAsia="zh-CN"/>
        </w:rPr>
        <w:t>三会一课</w:t>
      </w:r>
      <w:r>
        <w:rPr>
          <w:rFonts w:hint="default" w:ascii="仿宋" w:hAnsi="仿宋" w:eastAsia="仿宋" w:cs="仿宋"/>
          <w:i w:val="0"/>
          <w:iCs w:val="0"/>
          <w:caps w:val="0"/>
          <w:color w:val="1C1F23"/>
          <w:spacing w:val="0"/>
          <w:sz w:val="32"/>
          <w:szCs w:val="32"/>
          <w:shd w:val="clear" w:fill="FFFFFF"/>
        </w:rPr>
        <w:t>、主题党日活动、线上学习平台等多种形式，确保学习教育全覆盖、常态化、制度化。</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围绕党建工作开展形式多样的实践活动，如组织党员志愿者服务活动、开展红色文化教育基地参观学习、举办党建与企业发展研讨会等，增强党员的身份意识、责任意识与宗旨意识，促进党建工作与企业经营管理深度融合。</w:t>
      </w:r>
    </w:p>
    <w:p>
      <w:pPr>
        <w:pStyle w:val="5"/>
        <w:numPr>
          <w:ilvl w:val="0"/>
          <w:numId w:val="7"/>
        </w:numPr>
        <w:bidi w:val="0"/>
        <w:rPr>
          <w:sz w:val="32"/>
          <w:szCs w:val="28"/>
        </w:rPr>
      </w:pPr>
      <w:r>
        <w:rPr>
          <w:rFonts w:hint="default"/>
          <w:sz w:val="32"/>
          <w:szCs w:val="28"/>
        </w:rPr>
        <w:t>党组织建设与党员发展</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按照党组织建设要求，规范商会党支部组织架构与工作流程，加强党支部班子建设，提高党支部的凝聚力与战斗力。</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积极做好党员发展工作，注重在会员企业中培养和发展优秀青年人才、业务骨干加入党组织，严格党员发展标准与程序，成熟一个发展一个，不断壮大商会党员队伍，为商会党建工作提供坚实的组织保障。</w:t>
      </w:r>
    </w:p>
    <w:p>
      <w:pPr>
        <w:pStyle w:val="4"/>
        <w:bidi w:val="0"/>
        <w:rPr>
          <w:rFonts w:ascii="宋体" w:hAnsi="宋体" w:eastAsia="宋体" w:cs="宋体"/>
          <w:sz w:val="36"/>
          <w:szCs w:val="36"/>
        </w:rPr>
      </w:pPr>
      <w:r>
        <w:rPr>
          <w:rFonts w:ascii="宋体" w:hAnsi="宋体" w:eastAsia="宋体" w:cs="宋体"/>
          <w:sz w:val="36"/>
          <w:szCs w:val="36"/>
        </w:rPr>
        <w:t>（八）热心公益推动 “万企兴万村” 行动</w:t>
      </w:r>
    </w:p>
    <w:p>
      <w:pPr>
        <w:pStyle w:val="5"/>
        <w:numPr>
          <w:ilvl w:val="0"/>
          <w:numId w:val="8"/>
        </w:numPr>
        <w:bidi w:val="0"/>
        <w:rPr>
          <w:sz w:val="32"/>
          <w:szCs w:val="28"/>
        </w:rPr>
      </w:pPr>
      <w:r>
        <w:rPr>
          <w:rFonts w:hint="default"/>
          <w:sz w:val="32"/>
          <w:szCs w:val="28"/>
        </w:rPr>
        <w:t>村企结对与规划制定</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深入开展 “万企兴万村” 行动，组织商会会员企业与周边乡村进行结对帮扶，根据乡村实际情况与需求，制定个性化的帮扶计划与项目方案，明确帮扶目标、帮扶内容与时间节点。</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重点围绕乡村建设、产业发展、就业带动、消费帮扶、帮办实事等方面开展工作，整合商会企业资源优势，为乡村振兴提供全方位支持与服务。</w:t>
      </w:r>
    </w:p>
    <w:p>
      <w:pPr>
        <w:pStyle w:val="5"/>
        <w:numPr>
          <w:ilvl w:val="0"/>
          <w:numId w:val="8"/>
        </w:numPr>
        <w:bidi w:val="0"/>
        <w:rPr>
          <w:sz w:val="32"/>
          <w:szCs w:val="28"/>
        </w:rPr>
      </w:pPr>
      <w:r>
        <w:rPr>
          <w:rFonts w:hint="default"/>
          <w:sz w:val="32"/>
          <w:szCs w:val="28"/>
        </w:rPr>
        <w:t>项目实施与成效评估</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default"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积极推动村企结对帮扶项目的落地实施，如开展农村劳动力技能培训与就业安置、组织农产品采购与消费</w:t>
      </w:r>
      <w:r>
        <w:rPr>
          <w:rFonts w:hint="eastAsia" w:ascii="仿宋" w:hAnsi="仿宋" w:eastAsia="仿宋" w:cs="仿宋"/>
          <w:i w:val="0"/>
          <w:iCs w:val="0"/>
          <w:caps w:val="0"/>
          <w:color w:val="1C1F23"/>
          <w:spacing w:val="0"/>
          <w:sz w:val="32"/>
          <w:szCs w:val="32"/>
          <w:shd w:val="clear" w:fill="FFFFFF"/>
          <w:lang w:val="en-US" w:eastAsia="zh-CN"/>
        </w:rPr>
        <w:t>帮扶</w:t>
      </w:r>
      <w:r>
        <w:rPr>
          <w:rFonts w:hint="default" w:ascii="仿宋" w:hAnsi="仿宋" w:eastAsia="仿宋" w:cs="仿宋"/>
          <w:i w:val="0"/>
          <w:iCs w:val="0"/>
          <w:caps w:val="0"/>
          <w:color w:val="1C1F23"/>
          <w:spacing w:val="0"/>
          <w:sz w:val="32"/>
          <w:szCs w:val="32"/>
          <w:shd w:val="clear" w:fill="FFFFFF"/>
        </w:rPr>
        <w:t>等，确保帮扶项目取得实实在在的成效。</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建立帮扶项目成效评估机制，定期对帮扶项目进行跟踪评估与总结分析，及时调整优化帮扶策略与措施，不断提高帮扶工作质量与水平，为绘就 “四美” 乡村新画卷贡献商会力量。</w:t>
      </w:r>
    </w:p>
    <w:p>
      <w:pPr>
        <w:pStyle w:val="3"/>
        <w:bidi w:val="0"/>
        <w:rPr>
          <w:sz w:val="40"/>
          <w:szCs w:val="40"/>
        </w:rPr>
      </w:pPr>
      <w:r>
        <w:rPr>
          <w:sz w:val="40"/>
          <w:szCs w:val="40"/>
        </w:rPr>
        <w:t>三、工作保障与评估</w:t>
      </w:r>
    </w:p>
    <w:p>
      <w:pPr>
        <w:pStyle w:val="5"/>
        <w:numPr>
          <w:ilvl w:val="0"/>
          <w:numId w:val="9"/>
        </w:numPr>
        <w:bidi w:val="0"/>
        <w:rPr>
          <w:sz w:val="32"/>
          <w:szCs w:val="28"/>
        </w:rPr>
      </w:pPr>
      <w:r>
        <w:rPr>
          <w:rFonts w:hint="default"/>
          <w:sz w:val="32"/>
          <w:szCs w:val="28"/>
        </w:rPr>
        <w:t>资源保障</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设立专项工作经费预算，确保商会各项工作计划的顺利实施，经费来源包括会员会费、政府扶持资金等。充实商会工作团队，提高工作效率与服务质量。</w:t>
      </w:r>
    </w:p>
    <w:p>
      <w:pPr>
        <w:pStyle w:val="5"/>
        <w:numPr>
          <w:ilvl w:val="0"/>
          <w:numId w:val="9"/>
        </w:numPr>
        <w:bidi w:val="0"/>
        <w:rPr>
          <w:sz w:val="32"/>
          <w:szCs w:val="28"/>
        </w:rPr>
      </w:pPr>
      <w:r>
        <w:rPr>
          <w:rFonts w:hint="default"/>
          <w:sz w:val="32"/>
          <w:szCs w:val="28"/>
        </w:rPr>
        <w:t>工作评估与反馈</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eastAsia"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rPr>
        <w:t>建立定期工作评估机制，每季度对商会各项工作进展情况进行总结评估，分析工作中存在的问题与不足，及时调整工作计划与措施，确保工作目标的顺利实现。</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sz w:val="32"/>
          <w:szCs w:val="28"/>
        </w:rPr>
      </w:pPr>
      <w:r>
        <w:rPr>
          <w:rFonts w:hint="default" w:ascii="仿宋" w:hAnsi="仿宋" w:eastAsia="仿宋" w:cs="仿宋"/>
          <w:i w:val="0"/>
          <w:iCs w:val="0"/>
          <w:caps w:val="0"/>
          <w:color w:val="1C1F23"/>
          <w:spacing w:val="0"/>
          <w:sz w:val="32"/>
          <w:szCs w:val="32"/>
          <w:shd w:val="clear" w:fill="FFFFFF"/>
        </w:rPr>
        <w:t>加强与会员企业的沟通反馈，通过问卷调查、会员座谈会、走访调研等形式，广泛收集会员企业对商会工作的意见与建议，不断改进商会服务内容与方式，提高会员满意度与商会公信力。</w:t>
      </w: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default" w:ascii="仿宋" w:hAnsi="仿宋" w:eastAsia="仿宋" w:cs="仿宋"/>
          <w:i w:val="0"/>
          <w:iCs w:val="0"/>
          <w:caps w:val="0"/>
          <w:color w:val="1C1F23"/>
          <w:spacing w:val="0"/>
          <w:sz w:val="32"/>
          <w:szCs w:val="32"/>
          <w:shd w:val="clear" w:fill="FFFFFF"/>
          <w:lang w:val="en-US" w:eastAsia="zh-CN"/>
        </w:rPr>
      </w:pPr>
    </w:p>
    <w:p>
      <w:pPr>
        <w:keepNext w:val="0"/>
        <w:keepLines w:val="0"/>
        <w:widowControl/>
        <w:numPr>
          <w:ilvl w:val="0"/>
          <w:numId w:val="0"/>
        </w:numPr>
        <w:suppressLineNumbers w:val="0"/>
        <w:pBdr>
          <w:left w:val="none" w:color="auto" w:sz="0" w:space="0"/>
        </w:pBdr>
        <w:spacing w:before="180" w:beforeAutospacing="0" w:after="0" w:afterAutospacing="0"/>
        <w:ind w:right="0" w:rightChars="0" w:firstLine="640" w:firstLineChars="200"/>
        <w:rPr>
          <w:rFonts w:hint="default" w:ascii="仿宋" w:hAnsi="仿宋" w:eastAsia="仿宋" w:cs="仿宋"/>
          <w:i w:val="0"/>
          <w:iCs w:val="0"/>
          <w:caps w:val="0"/>
          <w:color w:val="1C1F23"/>
          <w:spacing w:val="0"/>
          <w:sz w:val="32"/>
          <w:szCs w:val="32"/>
          <w:shd w:val="clear" w:fill="FFFFFF"/>
        </w:rPr>
      </w:pPr>
      <w:r>
        <w:rPr>
          <w:rFonts w:hint="default" w:ascii="仿宋" w:hAnsi="仿宋" w:eastAsia="仿宋" w:cs="仿宋"/>
          <w:i w:val="0"/>
          <w:iCs w:val="0"/>
          <w:caps w:val="0"/>
          <w:color w:val="1C1F23"/>
          <w:spacing w:val="0"/>
          <w:sz w:val="32"/>
          <w:szCs w:val="32"/>
          <w:shd w:val="clear" w:fill="FFFFFF"/>
          <w:lang w:val="en-US" w:eastAsia="zh-CN"/>
        </w:rPr>
        <w:t>通过以上全面系统的工作计划，巢湖市槐林渔网商会将在 2025 年</w:t>
      </w:r>
      <w:r>
        <w:rPr>
          <w:rFonts w:hint="eastAsia" w:ascii="仿宋" w:hAnsi="仿宋" w:eastAsia="仿宋" w:cs="仿宋"/>
          <w:i w:val="0"/>
          <w:iCs w:val="0"/>
          <w:caps w:val="0"/>
          <w:color w:val="1C1F23"/>
          <w:spacing w:val="0"/>
          <w:sz w:val="32"/>
          <w:szCs w:val="32"/>
          <w:shd w:val="clear" w:fill="FFFFFF"/>
          <w:lang w:val="en-US" w:eastAsia="zh-CN"/>
        </w:rPr>
        <w:t>继续</w:t>
      </w:r>
      <w:r>
        <w:rPr>
          <w:rFonts w:hint="default" w:ascii="仿宋" w:hAnsi="仿宋" w:eastAsia="仿宋" w:cs="仿宋"/>
          <w:i w:val="0"/>
          <w:iCs w:val="0"/>
          <w:caps w:val="0"/>
          <w:color w:val="1C1F23"/>
          <w:spacing w:val="0"/>
          <w:sz w:val="32"/>
          <w:szCs w:val="32"/>
          <w:shd w:val="clear" w:fill="FFFFFF"/>
          <w:lang w:val="en-US" w:eastAsia="zh-CN"/>
        </w:rPr>
        <w:t>提升自身建设水平，为会员企业提供更加优质高效的服务，推动槐林渔网产业蓬勃发展，同时积极履行社会责任，为地方经济社会发展做出更大贡献。</w:t>
      </w:r>
    </w:p>
    <w:p>
      <w:pPr>
        <w:rPr>
          <w:sz w:val="32"/>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F9124A"/>
    <w:multiLevelType w:val="multilevel"/>
    <w:tmpl w:val="D1F9124A"/>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C529E88"/>
    <w:multiLevelType w:val="multilevel"/>
    <w:tmpl w:val="FC529E88"/>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1B662AE1"/>
    <w:multiLevelType w:val="multilevel"/>
    <w:tmpl w:val="1B662AE1"/>
    <w:lvl w:ilvl="0" w:tentative="0">
      <w:start w:val="1"/>
      <w:numFmt w:val="decimal"/>
      <w:lvlText w:val="%1."/>
      <w:lvlJc w:val="left"/>
      <w:pPr>
        <w:tabs>
          <w:tab w:val="left" w:pos="720"/>
        </w:tabs>
        <w:ind w:left="570" w:hanging="360"/>
      </w:pPr>
      <w:rPr>
        <w:rFonts w:hint="default"/>
        <w:sz w:val="32"/>
        <w:szCs w:val="32"/>
      </w:rPr>
    </w:lvl>
    <w:lvl w:ilvl="1" w:tentative="0">
      <w:start w:val="1"/>
      <w:numFmt w:val="decimal"/>
      <w:lvlText w:val="%2."/>
      <w:lvlJc w:val="left"/>
      <w:pPr>
        <w:tabs>
          <w:tab w:val="left" w:pos="1440"/>
        </w:tabs>
        <w:ind w:left="1290" w:hanging="360"/>
      </w:pPr>
      <w:rPr>
        <w:sz w:val="24"/>
        <w:szCs w:val="24"/>
      </w:rPr>
    </w:lvl>
    <w:lvl w:ilvl="2" w:tentative="0">
      <w:start w:val="1"/>
      <w:numFmt w:val="decimal"/>
      <w:lvlText w:val="%3."/>
      <w:lvlJc w:val="left"/>
      <w:pPr>
        <w:tabs>
          <w:tab w:val="left" w:pos="2160"/>
        </w:tabs>
        <w:ind w:left="2010" w:hanging="360"/>
      </w:pPr>
      <w:rPr>
        <w:sz w:val="24"/>
        <w:szCs w:val="24"/>
      </w:rPr>
    </w:lvl>
    <w:lvl w:ilvl="3" w:tentative="0">
      <w:start w:val="1"/>
      <w:numFmt w:val="decimal"/>
      <w:lvlText w:val="%4."/>
      <w:lvlJc w:val="left"/>
      <w:pPr>
        <w:tabs>
          <w:tab w:val="left" w:pos="2517"/>
        </w:tabs>
        <w:ind w:left="2730" w:hanging="360"/>
      </w:pPr>
      <w:rPr>
        <w:sz w:val="24"/>
        <w:szCs w:val="24"/>
      </w:rPr>
    </w:lvl>
    <w:lvl w:ilvl="4" w:tentative="0">
      <w:start w:val="1"/>
      <w:numFmt w:val="decimal"/>
      <w:lvlText w:val="%5."/>
      <w:lvlJc w:val="left"/>
      <w:pPr>
        <w:tabs>
          <w:tab w:val="left" w:pos="3238"/>
        </w:tabs>
        <w:ind w:left="3450" w:hanging="360"/>
      </w:pPr>
      <w:rPr>
        <w:sz w:val="24"/>
        <w:szCs w:val="24"/>
      </w:rPr>
    </w:lvl>
    <w:lvl w:ilvl="5" w:tentative="0">
      <w:start w:val="1"/>
      <w:numFmt w:val="decimal"/>
      <w:lvlText w:val="%6."/>
      <w:lvlJc w:val="left"/>
      <w:pPr>
        <w:tabs>
          <w:tab w:val="left" w:pos="3958"/>
        </w:tabs>
        <w:ind w:left="4170" w:hanging="360"/>
      </w:pPr>
      <w:rPr>
        <w:sz w:val="24"/>
        <w:szCs w:val="24"/>
      </w:rPr>
    </w:lvl>
    <w:lvl w:ilvl="6" w:tentative="0">
      <w:start w:val="1"/>
      <w:numFmt w:val="decimal"/>
      <w:lvlText w:val="%7."/>
      <w:lvlJc w:val="left"/>
      <w:pPr>
        <w:tabs>
          <w:tab w:val="left" w:pos="4678"/>
        </w:tabs>
        <w:ind w:left="4890" w:hanging="360"/>
      </w:pPr>
      <w:rPr>
        <w:sz w:val="24"/>
        <w:szCs w:val="24"/>
      </w:rPr>
    </w:lvl>
    <w:lvl w:ilvl="7" w:tentative="0">
      <w:start w:val="1"/>
      <w:numFmt w:val="decimal"/>
      <w:lvlText w:val="%8."/>
      <w:lvlJc w:val="left"/>
      <w:pPr>
        <w:tabs>
          <w:tab w:val="left" w:pos="5398"/>
        </w:tabs>
        <w:ind w:left="5610" w:hanging="360"/>
      </w:pPr>
      <w:rPr>
        <w:sz w:val="24"/>
        <w:szCs w:val="24"/>
      </w:rPr>
    </w:lvl>
    <w:lvl w:ilvl="8" w:tentative="0">
      <w:start w:val="1"/>
      <w:numFmt w:val="decimal"/>
      <w:lvlText w:val="%9."/>
      <w:lvlJc w:val="left"/>
      <w:pPr>
        <w:tabs>
          <w:tab w:val="left" w:pos="6118"/>
        </w:tabs>
        <w:ind w:left="6330" w:hanging="360"/>
      </w:pPr>
      <w:rPr>
        <w:sz w:val="24"/>
        <w:szCs w:val="24"/>
      </w:rPr>
    </w:lvl>
  </w:abstractNum>
  <w:abstractNum w:abstractNumId="3">
    <w:nsid w:val="2A7BB30B"/>
    <w:multiLevelType w:val="multilevel"/>
    <w:tmpl w:val="2A7BB30B"/>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2ACEC817"/>
    <w:multiLevelType w:val="multilevel"/>
    <w:tmpl w:val="2ACEC817"/>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41454813"/>
    <w:multiLevelType w:val="multilevel"/>
    <w:tmpl w:val="41454813"/>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4F8874E6"/>
    <w:multiLevelType w:val="multilevel"/>
    <w:tmpl w:val="4F8874E6"/>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6427D619"/>
    <w:multiLevelType w:val="multilevel"/>
    <w:tmpl w:val="6427D619"/>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7AC5564A"/>
    <w:multiLevelType w:val="multilevel"/>
    <w:tmpl w:val="7AC5564A"/>
    <w:lvl w:ilvl="0" w:tentative="0">
      <w:start w:val="1"/>
      <w:numFmt w:val="decimal"/>
      <w:lvlText w:val="%1."/>
      <w:lvlJc w:val="left"/>
      <w:pPr>
        <w:tabs>
          <w:tab w:val="left" w:pos="720"/>
        </w:tabs>
        <w:ind w:left="720" w:hanging="360"/>
      </w:pPr>
      <w:rPr>
        <w:rFonts w:hint="default"/>
        <w:sz w:val="32"/>
        <w:szCs w:val="32"/>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2"/>
  </w:num>
  <w:num w:numId="2">
    <w:abstractNumId w:val="6"/>
  </w:num>
  <w:num w:numId="3">
    <w:abstractNumId w:val="4"/>
  </w:num>
  <w:num w:numId="4">
    <w:abstractNumId w:val="8"/>
  </w:num>
  <w:num w:numId="5">
    <w:abstractNumId w:val="3"/>
  </w:num>
  <w:num w:numId="6">
    <w:abstractNumId w:val="1"/>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96BCA"/>
    <w:rsid w:val="012F2443"/>
    <w:rsid w:val="040000C7"/>
    <w:rsid w:val="04B0389B"/>
    <w:rsid w:val="050339CA"/>
    <w:rsid w:val="06796BCA"/>
    <w:rsid w:val="08C711B3"/>
    <w:rsid w:val="08E104C7"/>
    <w:rsid w:val="12DB5F87"/>
    <w:rsid w:val="14E1184E"/>
    <w:rsid w:val="17514A69"/>
    <w:rsid w:val="178766DD"/>
    <w:rsid w:val="1BA07D6D"/>
    <w:rsid w:val="204C04C4"/>
    <w:rsid w:val="21EA1D42"/>
    <w:rsid w:val="231D6147"/>
    <w:rsid w:val="246C2EE2"/>
    <w:rsid w:val="26597496"/>
    <w:rsid w:val="28D472A8"/>
    <w:rsid w:val="2944442E"/>
    <w:rsid w:val="29451F54"/>
    <w:rsid w:val="2A1F09F7"/>
    <w:rsid w:val="2DDD5A3D"/>
    <w:rsid w:val="31450646"/>
    <w:rsid w:val="31682C84"/>
    <w:rsid w:val="33C85C5B"/>
    <w:rsid w:val="35A46254"/>
    <w:rsid w:val="363870C8"/>
    <w:rsid w:val="36EF34FF"/>
    <w:rsid w:val="372E4027"/>
    <w:rsid w:val="373A0C1E"/>
    <w:rsid w:val="399E6D19"/>
    <w:rsid w:val="39A700C1"/>
    <w:rsid w:val="3AA7481D"/>
    <w:rsid w:val="3BC1190E"/>
    <w:rsid w:val="3C461E13"/>
    <w:rsid w:val="41FD11C6"/>
    <w:rsid w:val="429F402B"/>
    <w:rsid w:val="43AC4C52"/>
    <w:rsid w:val="446E63AB"/>
    <w:rsid w:val="44BA514C"/>
    <w:rsid w:val="44E87F0C"/>
    <w:rsid w:val="45010FCD"/>
    <w:rsid w:val="47190850"/>
    <w:rsid w:val="477E6905"/>
    <w:rsid w:val="47B16CDB"/>
    <w:rsid w:val="488C32A4"/>
    <w:rsid w:val="4A056E6A"/>
    <w:rsid w:val="4A6A13C3"/>
    <w:rsid w:val="4B4340EE"/>
    <w:rsid w:val="4DFE254E"/>
    <w:rsid w:val="55FF3307"/>
    <w:rsid w:val="57943BFF"/>
    <w:rsid w:val="58613A3F"/>
    <w:rsid w:val="5B767BC7"/>
    <w:rsid w:val="61D4389A"/>
    <w:rsid w:val="621974FF"/>
    <w:rsid w:val="624B3430"/>
    <w:rsid w:val="62E47B0C"/>
    <w:rsid w:val="65554CF2"/>
    <w:rsid w:val="65BA4B55"/>
    <w:rsid w:val="66BF0F32"/>
    <w:rsid w:val="67D55C76"/>
    <w:rsid w:val="6A955B90"/>
    <w:rsid w:val="6B376C47"/>
    <w:rsid w:val="6E8D6CB9"/>
    <w:rsid w:val="741D2E7E"/>
    <w:rsid w:val="74BD640F"/>
    <w:rsid w:val="74F02341"/>
    <w:rsid w:val="75151DA7"/>
    <w:rsid w:val="762C55FB"/>
    <w:rsid w:val="768E1E11"/>
    <w:rsid w:val="787768D5"/>
    <w:rsid w:val="79E32474"/>
    <w:rsid w:val="79FA5A10"/>
    <w:rsid w:val="7A2F7467"/>
    <w:rsid w:val="7B494559"/>
    <w:rsid w:val="7CB400F8"/>
    <w:rsid w:val="7D8E6B9B"/>
    <w:rsid w:val="7F0C3488"/>
    <w:rsid w:val="7F63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8"/>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link w:val="12"/>
    <w:semiHidden/>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1">
    <w:name w:val="Strong"/>
    <w:basedOn w:val="10"/>
    <w:qFormat/>
    <w:uiPriority w:val="0"/>
    <w:rPr>
      <w:b/>
    </w:rPr>
  </w:style>
  <w:style w:type="character" w:customStyle="1" w:styleId="12">
    <w:name w:val="标题 5 Char"/>
    <w:link w:val="6"/>
    <w:uiPriority w:val="0"/>
    <w:rPr>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2024-11-20T08:53:00Z</dcterms:created>
  <dc:creator>Administrator</dc:creator>
  <cp:lastModifiedBy>Administrator</cp:lastModifiedBy>
  <cp:lastPrinted>2024-11-21T02:10:00Z</cp:lastPrinted>
  <dcterms:modified xsi:type="dcterms:W3CDTF">2024-11-21T02:24:23Z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D2ABEC20A3FD4B459E15955423F17384</vt:lpwstr>
  </property>
</Properties>
</file>